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897" w:rsidRDefault="00515FCF">
      <w:pPr>
        <w:kinsoku w:val="0"/>
        <w:overflowPunct w:val="0"/>
        <w:autoSpaceDE/>
        <w:autoSpaceDN/>
        <w:adjustRightInd/>
        <w:spacing w:line="262"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w:t>
      </w:r>
      <w:bookmarkStart w:id="0" w:name="_GoBack"/>
      <w:r>
        <w:rPr>
          <w:rFonts w:ascii="Verdana" w:hAnsi="Verdana" w:cs="Verdana"/>
          <w:b/>
          <w:bCs/>
          <w:sz w:val="22"/>
          <w:szCs w:val="22"/>
          <w:lang w:val="es-ES" w:eastAsia="es-ES"/>
        </w:rPr>
        <w:t>3342-2017</w:t>
      </w:r>
      <w:bookmarkEnd w:id="0"/>
    </w:p>
    <w:p w:rsidR="00A02897" w:rsidRDefault="00515FCF">
      <w:pPr>
        <w:kinsoku w:val="0"/>
        <w:overflowPunct w:val="0"/>
        <w:autoSpaceDE/>
        <w:autoSpaceDN/>
        <w:adjustRightInd/>
        <w:spacing w:before="542" w:line="26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cincuenta y seis minutos del treinta y uno de octubre de dos mil diecisiete. -</w:t>
      </w:r>
    </w:p>
    <w:p w:rsidR="00A02897" w:rsidRDefault="00515FCF">
      <w:pPr>
        <w:kinsoku w:val="0"/>
        <w:overflowPunct w:val="0"/>
        <w:autoSpaceDE/>
        <w:autoSpaceDN/>
        <w:adjustRightInd/>
        <w:spacing w:before="267" w:line="265"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e incidente de Nulidad,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 xml:space="preserve">W.S.A., cédula de identidad número …,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TAT-107-17.</w:t>
      </w:r>
    </w:p>
    <w:p w:rsidR="00A02897" w:rsidRDefault="00515FCF">
      <w:pPr>
        <w:kinsoku w:val="0"/>
        <w:overflowPunct w:val="0"/>
        <w:autoSpaceDE/>
        <w:autoSpaceDN/>
        <w:adjustRightInd/>
        <w:spacing w:before="277" w:line="262"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A02897" w:rsidRDefault="00515FCF">
      <w:pPr>
        <w:kinsoku w:val="0"/>
        <w:overflowPunct w:val="0"/>
        <w:autoSpaceDE/>
        <w:autoSpaceDN/>
        <w:adjustRightInd/>
        <w:spacing w:before="313" w:line="263" w:lineRule="exact"/>
        <w:ind w:right="144"/>
        <w:jc w:val="both"/>
        <w:textAlignment w:val="baseline"/>
        <w:rPr>
          <w:rFonts w:ascii="Verdana" w:hAnsi="Verdana" w:cs="Verdana"/>
          <w:i/>
          <w:iCs/>
          <w:spacing w:val="-3"/>
          <w:sz w:val="22"/>
          <w:szCs w:val="22"/>
          <w:lang w:val="es-ES" w:eastAsia="es-ES"/>
        </w:rPr>
      </w:pPr>
      <w:r>
        <w:rPr>
          <w:rFonts w:ascii="Verdana" w:hAnsi="Verdana" w:cs="Verdana"/>
          <w:b/>
          <w:bCs/>
          <w:spacing w:val="-3"/>
          <w:sz w:val="22"/>
          <w:szCs w:val="22"/>
          <w:lang w:val="es-ES" w:eastAsia="es-ES"/>
        </w:rPr>
        <w:t xml:space="preserve">PRIMERO: </w:t>
      </w: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artículo 7.2 de la Sesión Ordinaria 40-2016 de 18 de agosto de 2016, </w:t>
      </w:r>
      <w:r>
        <w:rPr>
          <w:rFonts w:ascii="Verdana" w:hAnsi="Verdana" w:cs="Verdana"/>
          <w:spacing w:val="-3"/>
          <w:sz w:val="22"/>
          <w:szCs w:val="22"/>
          <w:lang w:val="es-ES" w:eastAsia="es-ES"/>
        </w:rPr>
        <w:t xml:space="preserve">acuerda </w:t>
      </w:r>
      <w:r>
        <w:rPr>
          <w:rFonts w:ascii="Verdana" w:hAnsi="Verdana" w:cs="Verdana"/>
          <w:i/>
          <w:iCs/>
          <w:spacing w:val="-3"/>
          <w:sz w:val="22"/>
          <w:szCs w:val="22"/>
          <w:lang w:val="es-ES" w:eastAsia="es-ES"/>
        </w:rPr>
        <w:t xml:space="preserve">"1. Aprobar, basados en los fundamentos, motivos y contenidos, desarrollados en los considerandos del oficio (sic) </w:t>
      </w:r>
      <w:r>
        <w:rPr>
          <w:rFonts w:ascii="Verdana" w:hAnsi="Verdana" w:cs="Verdana"/>
          <w:b/>
          <w:bCs/>
          <w:i/>
          <w:iCs/>
          <w:spacing w:val="-3"/>
          <w:sz w:val="22"/>
          <w:szCs w:val="22"/>
          <w:lang w:val="es-ES" w:eastAsia="es-ES"/>
        </w:rPr>
        <w:t xml:space="preserve">DAJ 2016-002898 </w:t>
      </w:r>
      <w:r>
        <w:rPr>
          <w:rFonts w:ascii="Verdana" w:hAnsi="Verdana" w:cs="Verdana"/>
          <w:b/>
          <w:bCs/>
          <w:spacing w:val="-3"/>
          <w:sz w:val="22"/>
          <w:szCs w:val="22"/>
          <w:lang w:val="es-ES" w:eastAsia="es-ES"/>
        </w:rPr>
        <w:t xml:space="preserve">y </w:t>
      </w:r>
      <w:r>
        <w:rPr>
          <w:rFonts w:ascii="Verdana" w:hAnsi="Verdana" w:cs="Verdana"/>
          <w:b/>
          <w:bCs/>
          <w:i/>
          <w:iCs/>
          <w:spacing w:val="-3"/>
          <w:sz w:val="22"/>
          <w:szCs w:val="22"/>
          <w:lang w:val="es-ES" w:eastAsia="es-ES"/>
        </w:rPr>
        <w:t xml:space="preserve">DE 2016-2135, </w:t>
      </w:r>
      <w:r>
        <w:rPr>
          <w:rFonts w:ascii="Verdana" w:hAnsi="Verdana" w:cs="Verdana"/>
          <w:i/>
          <w:iCs/>
          <w:spacing w:val="-3"/>
          <w:sz w:val="22"/>
          <w:szCs w:val="22"/>
          <w:lang w:val="es-ES" w:eastAsia="es-ES"/>
        </w:rPr>
        <w:t>todas las recomendaciones contenidas en el oficio dicho, el cual forma parte integral de este acuerdo. 2. Cancelar de manera automática la concesión de taxi a las siguientes personas, por vencimiento del plazo y no haber</w:t>
      </w:r>
    </w:p>
    <w:p w:rsidR="00A02897" w:rsidRDefault="00515FCF">
      <w:pPr>
        <w:tabs>
          <w:tab w:val="left" w:leader="dot" w:pos="6480"/>
        </w:tabs>
        <w:kinsoku w:val="0"/>
        <w:overflowPunct w:val="0"/>
        <w:autoSpaceDE/>
        <w:autoSpaceDN/>
        <w:adjustRightInd/>
        <w:spacing w:before="36" w:line="263" w:lineRule="exact"/>
        <w:ind w:right="144"/>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 xml:space="preserve">gestionado la renovación antes de vencer la concesión </w:t>
      </w:r>
      <w:r>
        <w:rPr>
          <w:rFonts w:ascii="Verdana" w:hAnsi="Verdana" w:cs="Verdana"/>
          <w:i/>
          <w:iCs/>
          <w:spacing w:val="-2"/>
          <w:sz w:val="22"/>
          <w:szCs w:val="22"/>
          <w:lang w:val="es-ES" w:eastAsia="es-ES"/>
        </w:rPr>
        <w:tab/>
        <w:t xml:space="preserve"> W.S.A. ... 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 </w:t>
      </w:r>
      <w:proofErr w:type="spellStart"/>
      <w:r>
        <w:rPr>
          <w:rFonts w:ascii="Verdana" w:hAnsi="Verdana" w:cs="Verdana"/>
          <w:i/>
          <w:iCs/>
          <w:spacing w:val="-2"/>
          <w:sz w:val="22"/>
          <w:szCs w:val="22"/>
          <w:lang w:val="es-ES" w:eastAsia="es-ES"/>
        </w:rPr>
        <w:t>desinscribir</w:t>
      </w:r>
      <w:proofErr w:type="spellEnd"/>
      <w:r>
        <w:rPr>
          <w:rFonts w:ascii="Verdana" w:hAnsi="Verdana" w:cs="Verdana"/>
          <w:i/>
          <w:iCs/>
          <w:spacing w:val="-2"/>
          <w:sz w:val="22"/>
          <w:szCs w:val="22"/>
          <w:lang w:val="es-ES" w:eastAsia="es-ES"/>
        </w:rPr>
        <w:t xml:space="preserve"> los códigos de servicio público (placas de Taxi) de las unidades de taxi indicadas supra, ante el Registro Nacional, recuperar las placas metálicas, e informar a las autoridades competentes. Para tales efectos se le remiten los ciento sesenta y cinco expedientes de dichas placas que se encuentran en la Secretaria de Actas.... "</w:t>
      </w:r>
      <w:r>
        <w:rPr>
          <w:rFonts w:ascii="Verdana" w:hAnsi="Verdana" w:cs="Verdana"/>
          <w:spacing w:val="-2"/>
          <w:sz w:val="22"/>
          <w:szCs w:val="22"/>
          <w:lang w:val="es-ES" w:eastAsia="es-ES"/>
        </w:rPr>
        <w:t>(Léanse folios del 19 al 26 del expediente administrativo)</w:t>
      </w:r>
    </w:p>
    <w:p w:rsidR="00A02897" w:rsidRPr="00515FCF" w:rsidRDefault="00515FCF">
      <w:pPr>
        <w:kinsoku w:val="0"/>
        <w:overflowPunct w:val="0"/>
        <w:autoSpaceDE/>
        <w:autoSpaceDN/>
        <w:adjustRightInd/>
        <w:spacing w:before="311" w:after="619" w:line="265"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 xml:space="preserve">El recurrente en su líbelo indica en lo conducente, que no es cierto lo manifestado por la Administración en el sentido de no realizó diligencia alguna para la formalización del contrato pues siempre estuvo anuente a realizar la firma del mismo. Alega que entregó todos los documentos ante RACSA, y en el </w:t>
      </w:r>
      <w:r w:rsidRPr="00515FCF">
        <w:rPr>
          <w:rFonts w:ascii="Verdana" w:hAnsi="Verdana" w:cs="Verdana"/>
          <w:spacing w:val="-2"/>
          <w:sz w:val="22"/>
          <w:szCs w:val="22"/>
          <w:lang w:val="es-ES" w:eastAsia="es-ES"/>
        </w:rPr>
        <w:t xml:space="preserve">documento de presentación refirió sus correos </w:t>
      </w:r>
      <w:r w:rsidRPr="00515FCF">
        <w:rPr>
          <w:rFonts w:ascii="Verdana" w:hAnsi="Verdana" w:cs="Verdana"/>
          <w:spacing w:val="-2"/>
          <w:sz w:val="22"/>
          <w:szCs w:val="22"/>
          <w:u w:val="single"/>
          <w:lang w:val="es-ES" w:eastAsia="es-ES"/>
        </w:rPr>
        <w:t>xxxxxx@</w:t>
      </w:r>
      <w:hyperlink r:id="rId5" w:history="1">
        <w:r w:rsidRPr="00515FCF">
          <w:rPr>
            <w:rFonts w:ascii="Verdana" w:hAnsi="Verdana" w:cs="Verdana"/>
            <w:spacing w:val="-2"/>
            <w:sz w:val="22"/>
            <w:szCs w:val="22"/>
            <w:u w:val="single"/>
            <w:lang w:val="es-ES" w:eastAsia="es-ES"/>
          </w:rPr>
          <w:t>hotmail.com</w:t>
        </w:r>
      </w:hyperlink>
      <w:r w:rsidRPr="00515FCF">
        <w:rPr>
          <w:rFonts w:ascii="Verdana" w:hAnsi="Verdana" w:cs="Verdana"/>
          <w:spacing w:val="-2"/>
          <w:sz w:val="22"/>
          <w:szCs w:val="22"/>
          <w:lang w:val="es-ES" w:eastAsia="es-ES"/>
        </w:rPr>
        <w:t xml:space="preserve"> y </w:t>
      </w:r>
      <w:hyperlink r:id="rId6" w:history="1">
        <w:r w:rsidRPr="00515FCF">
          <w:rPr>
            <w:rStyle w:val="Hipervnculo"/>
            <w:rFonts w:ascii="Verdana" w:hAnsi="Verdana" w:cs="Verdana"/>
            <w:color w:val="auto"/>
            <w:spacing w:val="-2"/>
            <w:sz w:val="22"/>
            <w:szCs w:val="22"/>
            <w:lang w:val="es-ES" w:eastAsia="es-ES"/>
          </w:rPr>
          <w:t>xxxxxxx@gmail.com</w:t>
        </w:r>
      </w:hyperlink>
      <w:r w:rsidRPr="00515FCF">
        <w:rPr>
          <w:rFonts w:ascii="Verdana" w:hAnsi="Verdana" w:cs="Verdana"/>
          <w:spacing w:val="-2"/>
          <w:sz w:val="22"/>
          <w:szCs w:val="22"/>
          <w:u w:val="single"/>
          <w:lang w:val="es-ES" w:eastAsia="es-ES"/>
        </w:rPr>
        <w:t>,</w:t>
      </w:r>
      <w:r w:rsidRPr="00515FCF">
        <w:rPr>
          <w:rFonts w:ascii="Verdana" w:hAnsi="Verdana" w:cs="Verdana"/>
          <w:spacing w:val="-2"/>
          <w:sz w:val="22"/>
          <w:szCs w:val="22"/>
          <w:lang w:val="es-ES" w:eastAsia="es-ES"/>
        </w:rPr>
        <w:t xml:space="preserve"> así como números de teléfonos, como lugar para</w:t>
      </w:r>
    </w:p>
    <w:p w:rsidR="00A02897" w:rsidRPr="00515FCF" w:rsidRDefault="00A02897">
      <w:pPr>
        <w:widowControl/>
        <w:rPr>
          <w:sz w:val="24"/>
          <w:szCs w:val="24"/>
        </w:rPr>
        <w:sectPr w:rsidR="00A02897" w:rsidRPr="00515FCF">
          <w:pgSz w:w="12302" w:h="15706"/>
          <w:pgMar w:top="1460" w:right="1432" w:bottom="223" w:left="1790" w:header="720" w:footer="720" w:gutter="0"/>
          <w:cols w:space="720"/>
          <w:noEndnote/>
        </w:sectPr>
      </w:pPr>
    </w:p>
    <w:p w:rsidR="00A02897" w:rsidRDefault="00A02897">
      <w:pPr>
        <w:widowControl/>
        <w:rPr>
          <w:sz w:val="24"/>
          <w:szCs w:val="24"/>
        </w:rPr>
        <w:sectPr w:rsidR="00A02897">
          <w:type w:val="continuous"/>
          <w:pgSz w:w="12302" w:h="15706"/>
          <w:pgMar w:top="1460" w:right="1633" w:bottom="223" w:left="7589" w:header="720" w:footer="720" w:gutter="0"/>
          <w:cols w:space="720"/>
          <w:noEndnote/>
        </w:sectPr>
      </w:pPr>
    </w:p>
    <w:p w:rsidR="00A02897" w:rsidRDefault="00515FCF">
      <w:pPr>
        <w:kinsoku w:val="0"/>
        <w:overflowPunct w:val="0"/>
        <w:autoSpaceDE/>
        <w:autoSpaceDN/>
        <w:adjustRightInd/>
        <w:spacing w:before="26" w:line="267" w:lineRule="exact"/>
        <w:ind w:left="72" w:right="72"/>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lastRenderedPageBreak/>
        <w:t>notificaciones</w:t>
      </w:r>
      <w:proofErr w:type="gramEnd"/>
      <w:r>
        <w:rPr>
          <w:rFonts w:ascii="Verdana" w:hAnsi="Verdana" w:cs="Verdana"/>
          <w:sz w:val="22"/>
          <w:szCs w:val="22"/>
          <w:lang w:val="es-ES" w:eastAsia="es-ES"/>
        </w:rPr>
        <w:t xml:space="preserve"> pero nunca se le comunico nada solicitando más información de su persona; además de que presento todos los documentos requeridos y así consta, pues siempre </w:t>
      </w:r>
      <w:proofErr w:type="spellStart"/>
      <w:r>
        <w:rPr>
          <w:rFonts w:ascii="Verdana" w:hAnsi="Verdana" w:cs="Verdana"/>
          <w:sz w:val="22"/>
          <w:szCs w:val="22"/>
          <w:lang w:val="es-ES" w:eastAsia="es-ES"/>
        </w:rPr>
        <w:t>a</w:t>
      </w:r>
      <w:proofErr w:type="spellEnd"/>
      <w:r>
        <w:rPr>
          <w:rFonts w:ascii="Verdana" w:hAnsi="Verdana" w:cs="Verdana"/>
          <w:sz w:val="22"/>
          <w:szCs w:val="22"/>
          <w:lang w:val="es-ES" w:eastAsia="es-ES"/>
        </w:rPr>
        <w:t xml:space="preserve"> procurado actuar apegado a las leyes. El acuerdo recurrido violenta el debido proceso consagrado en el numeral 41 de la Constitución Política y el numeral 136 de la Ley General de la Administración Pública. Que el acto es totalmente nulo pues nunca se le siguió un debido proceso. El acceso al expediente es muy complicado en el CTP, lo que violenta el Debido Proceso. (Léanse folios del 10 al 16 del expediente administrativo)</w:t>
      </w:r>
    </w:p>
    <w:p w:rsidR="00A02897" w:rsidRDefault="00515FCF">
      <w:pPr>
        <w:kinsoku w:val="0"/>
        <w:overflowPunct w:val="0"/>
        <w:autoSpaceDE/>
        <w:autoSpaceDN/>
        <w:adjustRightInd/>
        <w:spacing w:before="258" w:line="26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7.6.1 de la Sesión Ordinaria 37-2017 de 20 de setiembre de 2017,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DAJ-2017</w:t>
      </w:r>
      <w:r>
        <w:rPr>
          <w:rFonts w:ascii="Verdana" w:hAnsi="Verdana" w:cs="Verdana"/>
          <w:b/>
          <w:bCs/>
          <w:sz w:val="22"/>
          <w:szCs w:val="22"/>
          <w:lang w:val="es-ES" w:eastAsia="es-ES"/>
        </w:rPr>
        <w:softHyphen/>
        <w:t xml:space="preserve">002355 de 14 de setiembre de 2017 y rechaza el recurso de Revocatoria y la Nulidad invocadas por improcedente. </w:t>
      </w:r>
      <w:r>
        <w:rPr>
          <w:rFonts w:ascii="Verdana" w:hAnsi="Verdana" w:cs="Verdana"/>
          <w:sz w:val="22"/>
          <w:szCs w:val="22"/>
          <w:lang w:val="es-ES" w:eastAsia="es-ES"/>
        </w:rPr>
        <w:t>(léanse folios del 3 al 8 del expediente administrativo)</w:t>
      </w:r>
    </w:p>
    <w:p w:rsidR="00A02897" w:rsidRDefault="00515FCF">
      <w:pPr>
        <w:kinsoku w:val="0"/>
        <w:overflowPunct w:val="0"/>
        <w:autoSpaceDE/>
        <w:autoSpaceDN/>
        <w:adjustRightInd/>
        <w:spacing w:before="263"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El señor </w:t>
      </w:r>
      <w:r>
        <w:rPr>
          <w:rFonts w:ascii="Verdana" w:hAnsi="Verdana" w:cs="Verdana"/>
          <w:b/>
          <w:bCs/>
          <w:sz w:val="22"/>
          <w:szCs w:val="22"/>
          <w:lang w:val="es-ES" w:eastAsia="es-ES"/>
        </w:rPr>
        <w:t xml:space="preserve">W.S.A., </w:t>
      </w:r>
      <w:r>
        <w:rPr>
          <w:rFonts w:ascii="Verdana" w:hAnsi="Verdana" w:cs="Verdana"/>
          <w:sz w:val="22"/>
          <w:szCs w:val="22"/>
          <w:lang w:val="es-ES" w:eastAsia="es-ES"/>
        </w:rPr>
        <w:t xml:space="preserve">se apersona ante este Tribunal en respuesta a prevención que se le cursara e indica que no se presentó a las citas pues hasta ahora se viene a dar cuenta que por error le enviaron las citas a un correo que es similar al suyo pero no es el de él pues le omitieron una I siendo que se </w:t>
      </w:r>
      <w:r w:rsidRPr="00515FCF">
        <w:rPr>
          <w:rFonts w:ascii="Verdana" w:hAnsi="Verdana" w:cs="Verdana"/>
          <w:sz w:val="22"/>
          <w:szCs w:val="22"/>
          <w:lang w:val="es-ES" w:eastAsia="es-ES"/>
        </w:rPr>
        <w:t xml:space="preserve">envió a </w:t>
      </w:r>
      <w:hyperlink r:id="rId7" w:history="1">
        <w:r w:rsidRPr="00515FCF">
          <w:rPr>
            <w:rStyle w:val="Hipervnculo"/>
            <w:color w:val="auto"/>
            <w:sz w:val="26"/>
            <w:szCs w:val="26"/>
            <w:lang w:val="es-ES" w:eastAsia="es-ES"/>
          </w:rPr>
          <w:t>xxxxxx@hotmail.com</w:t>
        </w:r>
      </w:hyperlink>
      <w:r w:rsidRPr="00515FCF">
        <w:rPr>
          <w:rFonts w:ascii="Verdana" w:hAnsi="Verdana" w:cs="Verdana"/>
          <w:sz w:val="22"/>
          <w:szCs w:val="22"/>
          <w:lang w:val="es-ES" w:eastAsia="es-ES"/>
        </w:rPr>
        <w:t xml:space="preserve"> y el de él es </w:t>
      </w:r>
      <w:hyperlink r:id="rId8" w:history="1">
        <w:r w:rsidRPr="00515FCF">
          <w:rPr>
            <w:rStyle w:val="Hipervnculo"/>
            <w:rFonts w:ascii="Verdana" w:hAnsi="Verdana" w:cs="Verdana"/>
            <w:color w:val="auto"/>
            <w:sz w:val="22"/>
            <w:szCs w:val="22"/>
            <w:lang w:val="es-ES" w:eastAsia="es-ES"/>
          </w:rPr>
          <w:t>xxxxxxxx@hotmail.com</w:t>
        </w:r>
      </w:hyperlink>
      <w:r w:rsidRPr="00515FCF">
        <w:rPr>
          <w:rFonts w:ascii="Verdana" w:hAnsi="Verdana" w:cs="Verdana"/>
          <w:sz w:val="22"/>
          <w:szCs w:val="22"/>
          <w:lang w:val="es-ES" w:eastAsia="es-ES"/>
        </w:rPr>
        <w:t>, por tal</w:t>
      </w:r>
      <w:r>
        <w:rPr>
          <w:rFonts w:ascii="Verdana" w:hAnsi="Verdana" w:cs="Verdana"/>
          <w:sz w:val="22"/>
          <w:szCs w:val="22"/>
          <w:lang w:val="es-ES" w:eastAsia="es-ES"/>
        </w:rPr>
        <w:t xml:space="preserve"> motivo no pudo acudir a las citas que le enviaron, además todos los documentos están en regla y por eso nunca pensó que había algún problema. Que lo que dice es la única verdad y por esa razón está pasando por una circunstancia muy grave. (Léanse folios 174 y 175 del expediente administrativo)</w:t>
      </w:r>
    </w:p>
    <w:p w:rsidR="00A02897" w:rsidRDefault="00515FCF">
      <w:pPr>
        <w:kinsoku w:val="0"/>
        <w:overflowPunct w:val="0"/>
        <w:autoSpaceDE/>
        <w:autoSpaceDN/>
        <w:adjustRightInd/>
        <w:spacing w:before="253"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En las piezas del expediente, consta que el recurrente en documento denominado "FORMULARIO PARA LA RENOVACIÓN DE CONCESIONES DE TAXIS", presentado el 12 de noviembre de 2013, indicó como único medio para </w:t>
      </w:r>
      <w:r w:rsidRPr="00515FCF">
        <w:rPr>
          <w:rFonts w:ascii="Verdana" w:hAnsi="Verdana" w:cs="Verdana"/>
          <w:sz w:val="22"/>
          <w:szCs w:val="22"/>
          <w:lang w:val="es-ES" w:eastAsia="es-ES"/>
        </w:rPr>
        <w:t xml:space="preserve">recibir notificaciones el correo electrónico </w:t>
      </w:r>
      <w:hyperlink r:id="rId9" w:history="1">
        <w:r w:rsidRPr="00515FCF">
          <w:rPr>
            <w:rStyle w:val="Hipervnculo"/>
            <w:rFonts w:ascii="Verdana" w:hAnsi="Verdana" w:cs="Verdana"/>
            <w:color w:val="auto"/>
            <w:sz w:val="22"/>
            <w:szCs w:val="22"/>
            <w:lang w:val="es-ES" w:eastAsia="es-ES"/>
          </w:rPr>
          <w:t>xxxxxxx@hotmail.com</w:t>
        </w:r>
      </w:hyperlink>
      <w:r w:rsidRPr="00515FCF">
        <w:rPr>
          <w:rFonts w:ascii="Verdana" w:hAnsi="Verdana" w:cs="Verdana"/>
          <w:sz w:val="22"/>
          <w:szCs w:val="22"/>
          <w:u w:val="single"/>
          <w:lang w:val="es-ES" w:eastAsia="es-ES"/>
        </w:rPr>
        <w:t>;</w:t>
      </w:r>
      <w:r>
        <w:rPr>
          <w:rFonts w:ascii="Verdana" w:hAnsi="Verdana" w:cs="Verdana"/>
          <w:sz w:val="22"/>
          <w:szCs w:val="22"/>
          <w:lang w:val="es-ES" w:eastAsia="es-ES"/>
        </w:rPr>
        <w:t xml:space="preserve"> posteriormente se apersona al CTP, a solicitar autorización para cambio de unidad y nuevamente indica el mismo correo, esto lo hace el 31 de enero de 2014. (Léase folio 112 vuelto y 122 del expediente administrativo)</w:t>
      </w:r>
    </w:p>
    <w:p w:rsidR="00A02897" w:rsidRDefault="00515FCF">
      <w:pPr>
        <w:kinsoku w:val="0"/>
        <w:overflowPunct w:val="0"/>
        <w:autoSpaceDE/>
        <w:autoSpaceDN/>
        <w:adjustRightInd/>
        <w:spacing w:before="283"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En las piezas del expediente, consta que al recurrente el Consejo de Transporte Público le comunico cita el 27 de noviembre de 2014 a las 10:57 a.m., para renovación de la concesión para el día 1 de diciembre de 2014 a las 2:00 de la tarde, misma a la que no se presentó el recurrente y que le fuera </w:t>
      </w:r>
      <w:r w:rsidRPr="00515FCF">
        <w:rPr>
          <w:rFonts w:ascii="Verdana" w:hAnsi="Verdana" w:cs="Verdana"/>
          <w:sz w:val="22"/>
          <w:szCs w:val="22"/>
          <w:lang w:val="es-ES" w:eastAsia="es-ES"/>
        </w:rPr>
        <w:t xml:space="preserve">notificada al correo </w:t>
      </w:r>
      <w:hyperlink r:id="rId10" w:history="1">
        <w:r w:rsidRPr="00515FCF">
          <w:rPr>
            <w:rStyle w:val="Hipervnculo"/>
            <w:color w:val="auto"/>
            <w:sz w:val="26"/>
            <w:szCs w:val="26"/>
            <w:lang w:val="es-ES" w:eastAsia="es-ES"/>
          </w:rPr>
          <w:t>xxxxxxxx@hotmail.com</w:t>
        </w:r>
      </w:hyperlink>
      <w:r w:rsidRPr="00515FCF">
        <w:rPr>
          <w:sz w:val="26"/>
          <w:szCs w:val="26"/>
          <w:u w:val="single"/>
          <w:lang w:val="es-ES" w:eastAsia="es-ES"/>
        </w:rPr>
        <w:t>.</w:t>
      </w:r>
      <w:r w:rsidRPr="00515FCF">
        <w:rPr>
          <w:rFonts w:ascii="Verdana" w:hAnsi="Verdana" w:cs="Verdana"/>
          <w:sz w:val="22"/>
          <w:szCs w:val="22"/>
          <w:lang w:val="es-ES" w:eastAsia="es-ES"/>
        </w:rPr>
        <w:t xml:space="preserve"> Posteriormente el 20 de enero de</w:t>
      </w:r>
      <w:r>
        <w:rPr>
          <w:rFonts w:ascii="Verdana" w:hAnsi="Verdana" w:cs="Verdana"/>
          <w:sz w:val="22"/>
          <w:szCs w:val="22"/>
          <w:lang w:val="es-ES" w:eastAsia="es-ES"/>
        </w:rPr>
        <w:t xml:space="preserve"> 2016 a las 2:23 </w:t>
      </w:r>
      <w:proofErr w:type="spellStart"/>
      <w:r>
        <w:rPr>
          <w:rFonts w:ascii="Verdana" w:hAnsi="Verdana" w:cs="Verdana"/>
          <w:sz w:val="22"/>
          <w:szCs w:val="22"/>
          <w:lang w:val="es-ES" w:eastAsia="es-ES"/>
        </w:rPr>
        <w:t>p.m</w:t>
      </w:r>
      <w:proofErr w:type="spellEnd"/>
      <w:r>
        <w:rPr>
          <w:rFonts w:ascii="Verdana" w:hAnsi="Verdana" w:cs="Verdana"/>
          <w:sz w:val="22"/>
          <w:szCs w:val="22"/>
          <w:lang w:val="es-ES" w:eastAsia="es-ES"/>
        </w:rPr>
        <w:t>, se le vuelve a citar al mismo correo electrónico, esta vez para el 27 de enero de 2016 a las 10:00 a.m. misma a la que no se presentó (Léase folio 91 vuelto y 96 vuelto del expediente administrativo)</w:t>
      </w:r>
    </w:p>
    <w:p w:rsidR="00A02897" w:rsidRDefault="00515FCF">
      <w:pPr>
        <w:kinsoku w:val="0"/>
        <w:overflowPunct w:val="0"/>
        <w:autoSpaceDE/>
        <w:autoSpaceDN/>
        <w:adjustRightInd/>
        <w:spacing w:before="262" w:line="27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En los procedimientos seguidos se han observado las prescripciones legales.</w:t>
      </w:r>
    </w:p>
    <w:p w:rsidR="00A02897" w:rsidRDefault="00515FCF">
      <w:pPr>
        <w:kinsoku w:val="0"/>
        <w:overflowPunct w:val="0"/>
        <w:autoSpaceDE/>
        <w:autoSpaceDN/>
        <w:adjustRightInd/>
        <w:spacing w:before="260" w:after="586" w:line="267"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Redacta la Jueza Pérez Peláez; y,</w:t>
      </w:r>
    </w:p>
    <w:p w:rsidR="00A02897" w:rsidRDefault="00A02897">
      <w:pPr>
        <w:widowControl/>
        <w:rPr>
          <w:sz w:val="24"/>
          <w:szCs w:val="24"/>
        </w:rPr>
        <w:sectPr w:rsidR="00A02897">
          <w:pgSz w:w="12302" w:h="15706"/>
          <w:pgMar w:top="1260" w:right="1601" w:bottom="310" w:left="1621" w:header="720" w:footer="720" w:gutter="0"/>
          <w:cols w:space="720"/>
          <w:noEndnote/>
        </w:sectPr>
      </w:pPr>
    </w:p>
    <w:p w:rsidR="00A02897" w:rsidRDefault="00A02897">
      <w:pPr>
        <w:widowControl/>
        <w:rPr>
          <w:sz w:val="24"/>
          <w:szCs w:val="24"/>
        </w:rPr>
        <w:sectPr w:rsidR="00A02897">
          <w:type w:val="continuous"/>
          <w:pgSz w:w="12302" w:h="15706"/>
          <w:pgMar w:top="1260" w:right="1656" w:bottom="310" w:left="7546" w:header="720" w:footer="720" w:gutter="0"/>
          <w:cols w:space="720"/>
          <w:noEndnote/>
        </w:sectPr>
      </w:pPr>
    </w:p>
    <w:p w:rsidR="00A02897" w:rsidRDefault="00515FCF">
      <w:pPr>
        <w:kinsoku w:val="0"/>
        <w:overflowPunct w:val="0"/>
        <w:autoSpaceDE/>
        <w:autoSpaceDN/>
        <w:adjustRightInd/>
        <w:spacing w:line="268"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CONSIDERANDO</w:t>
      </w:r>
    </w:p>
    <w:p w:rsidR="00A02897" w:rsidRDefault="00515FCF">
      <w:pPr>
        <w:numPr>
          <w:ilvl w:val="0"/>
          <w:numId w:val="1"/>
        </w:numPr>
        <w:kinsoku w:val="0"/>
        <w:overflowPunct w:val="0"/>
        <w:autoSpaceDE/>
        <w:autoSpaceDN/>
        <w:adjustRightInd/>
        <w:spacing w:before="263" w:line="267"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A02897" w:rsidRDefault="00515FCF">
      <w:pPr>
        <w:numPr>
          <w:ilvl w:val="0"/>
          <w:numId w:val="1"/>
        </w:numPr>
        <w:kinsoku w:val="0"/>
        <w:overflowPunct w:val="0"/>
        <w:autoSpaceDE/>
        <w:autoSpaceDN/>
        <w:adjustRightInd/>
        <w:spacing w:before="286" w:line="267"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w:t>
      </w:r>
      <w:r>
        <w:rPr>
          <w:rFonts w:ascii="Verdana" w:hAnsi="Verdana" w:cs="Verdana"/>
          <w:b/>
          <w:bCs/>
          <w:sz w:val="22"/>
          <w:szCs w:val="22"/>
          <w:lang w:val="es-ES" w:eastAsia="es-ES"/>
        </w:rPr>
        <w:t xml:space="preserve">W.S.A., cédula de identidad número …, </w:t>
      </w:r>
      <w:r>
        <w:rPr>
          <w:rFonts w:ascii="Verdana" w:hAnsi="Verdana" w:cs="Verdana"/>
          <w:sz w:val="22"/>
          <w:szCs w:val="22"/>
          <w:lang w:val="es-ES" w:eastAsia="es-ES"/>
        </w:rPr>
        <w:t xml:space="preserve">le caducaron con el acuerdo impugnado, la concesión de taxi </w:t>
      </w:r>
      <w:r>
        <w:rPr>
          <w:rFonts w:ascii="Verdana" w:hAnsi="Verdana" w:cs="Verdana"/>
          <w:b/>
          <w:bCs/>
          <w:i/>
          <w:iCs/>
          <w:sz w:val="22"/>
          <w:szCs w:val="22"/>
          <w:lang w:val="es-ES" w:eastAsia="es-ES"/>
        </w:rPr>
        <w:t xml:space="preserve">TSJ-XXXX,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u w:val="single"/>
          <w:lang w:val="es-ES" w:eastAsia="es-ES"/>
        </w:rPr>
        <w:t>En cuanto al plazo:</w:t>
      </w:r>
      <w:r>
        <w:rPr>
          <w:rFonts w:ascii="Verdana" w:hAnsi="Verdana" w:cs="Verdana"/>
          <w:b/>
          <w:bCs/>
          <w:sz w:val="22"/>
          <w:szCs w:val="22"/>
          <w:lang w:val="es-ES" w:eastAsia="es-ES"/>
        </w:rPr>
        <w:t xml:space="preserve"> </w:t>
      </w:r>
      <w:r w:rsidRPr="00515FCF">
        <w:rPr>
          <w:rFonts w:ascii="Verdana" w:hAnsi="Verdana" w:cs="Verdana"/>
          <w:bCs/>
          <w:sz w:val="22"/>
          <w:szCs w:val="22"/>
          <w:lang w:val="es-ES" w:eastAsia="es-ES"/>
        </w:rPr>
        <w:t xml:space="preserve">El </w:t>
      </w:r>
      <w:r>
        <w:rPr>
          <w:rFonts w:ascii="Verdana" w:hAnsi="Verdana" w:cs="Verdana"/>
          <w:sz w:val="22"/>
          <w:szCs w:val="22"/>
          <w:lang w:val="es-ES" w:eastAsia="es-ES"/>
        </w:rPr>
        <w:t>Recurso de Apelación fue presentado fuera del plazo legal de cinco días establecido en el artículo 11 de la Ley N. 7969, ya que el acuerdo fue notificado el día 22 de agosto de 2016 ver folio 18 y el recurso se presentó el 3 de abril de 2017 ver folio 10 del expediente administrativo.</w:t>
      </w:r>
    </w:p>
    <w:p w:rsidR="00A02897" w:rsidRDefault="00515FCF">
      <w:pPr>
        <w:kinsoku w:val="0"/>
        <w:overflowPunct w:val="0"/>
        <w:autoSpaceDE/>
        <w:autoSpaceDN/>
        <w:adjustRightInd/>
        <w:spacing w:before="260" w:line="271"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EN CUANTO A LA NULIDAD INVOCADA</w:t>
      </w:r>
    </w:p>
    <w:p w:rsidR="00A02897" w:rsidRDefault="00515FCF" w:rsidP="00515FCF">
      <w:pPr>
        <w:kinsoku w:val="0"/>
        <w:overflowPunct w:val="0"/>
        <w:autoSpaceDE/>
        <w:autoSpaceDN/>
        <w:adjustRightInd/>
        <w:spacing w:before="274" w:line="267" w:lineRule="exact"/>
        <w:ind w:left="72" w:right="72"/>
        <w:jc w:val="both"/>
        <w:textAlignment w:val="baseline"/>
        <w:rPr>
          <w:rFonts w:ascii="Verdana" w:hAnsi="Verdana" w:cs="Verdana"/>
          <w:sz w:val="22"/>
          <w:szCs w:val="22"/>
          <w:lang w:val="es-ES" w:eastAsia="es-ES"/>
        </w:rPr>
      </w:pPr>
      <w:r>
        <w:rPr>
          <w:rFonts w:ascii="Verdana" w:hAnsi="Verdana" w:cs="Verdana"/>
          <w:spacing w:val="-1"/>
          <w:sz w:val="22"/>
          <w:szCs w:val="22"/>
          <w:lang w:val="es-ES" w:eastAsia="es-ES"/>
        </w:rPr>
        <w:t xml:space="preserve">El recurrente en su líbelo indica que entregó todos los documentos ante RACSA, </w:t>
      </w:r>
      <w:r w:rsidRPr="00515FCF">
        <w:rPr>
          <w:rFonts w:ascii="Verdana" w:hAnsi="Verdana" w:cs="Verdana"/>
          <w:spacing w:val="-1"/>
          <w:sz w:val="22"/>
          <w:szCs w:val="22"/>
          <w:lang w:val="es-ES" w:eastAsia="es-ES"/>
        </w:rPr>
        <w:t xml:space="preserve">y en el documento de presentación refirió sus correos </w:t>
      </w:r>
      <w:hyperlink r:id="rId11" w:history="1">
        <w:r w:rsidRPr="00515FCF">
          <w:rPr>
            <w:rStyle w:val="Hipervnculo"/>
            <w:rFonts w:ascii="Verdana" w:hAnsi="Verdana" w:cs="Verdana"/>
            <w:color w:val="auto"/>
            <w:spacing w:val="-1"/>
            <w:sz w:val="22"/>
            <w:szCs w:val="22"/>
            <w:lang w:val="es-ES" w:eastAsia="es-ES"/>
          </w:rPr>
          <w:t>xxxxxxx@hotmail.com</w:t>
        </w:r>
      </w:hyperlink>
      <w:r w:rsidRPr="00515FCF">
        <w:rPr>
          <w:rFonts w:ascii="Verdana" w:hAnsi="Verdana" w:cs="Verdana"/>
          <w:spacing w:val="-1"/>
          <w:sz w:val="22"/>
          <w:szCs w:val="22"/>
          <w:lang w:val="es-ES" w:eastAsia="es-ES"/>
        </w:rPr>
        <w:t xml:space="preserve"> y </w:t>
      </w:r>
      <w:hyperlink r:id="rId12" w:history="1">
        <w:r w:rsidRPr="00515FCF">
          <w:rPr>
            <w:rStyle w:val="Hipervnculo"/>
            <w:rFonts w:ascii="Verdana" w:hAnsi="Verdana" w:cs="Verdana"/>
            <w:color w:val="auto"/>
            <w:sz w:val="22"/>
            <w:szCs w:val="22"/>
            <w:lang w:val="es-ES" w:eastAsia="es-ES"/>
          </w:rPr>
          <w:t>xxxxxxxxx@gmail.com</w:t>
        </w:r>
      </w:hyperlink>
      <w:r w:rsidRPr="00515FCF">
        <w:rPr>
          <w:rFonts w:ascii="Verdana" w:hAnsi="Verdana" w:cs="Verdana"/>
          <w:sz w:val="22"/>
          <w:szCs w:val="22"/>
          <w:u w:val="single"/>
          <w:lang w:val="es-ES" w:eastAsia="es-ES"/>
        </w:rPr>
        <w:t>,</w:t>
      </w:r>
      <w:r w:rsidRPr="00515FCF">
        <w:rPr>
          <w:rFonts w:ascii="Verdana" w:hAnsi="Verdana" w:cs="Verdana"/>
          <w:sz w:val="22"/>
          <w:szCs w:val="22"/>
          <w:lang w:val="es-ES" w:eastAsia="es-ES"/>
        </w:rPr>
        <w:t xml:space="preserve"> así como números de teléfonos, lugar para</w:t>
      </w:r>
      <w:r>
        <w:rPr>
          <w:rFonts w:ascii="Verdana" w:hAnsi="Verdana" w:cs="Verdana"/>
          <w:sz w:val="22"/>
          <w:szCs w:val="22"/>
          <w:lang w:val="es-ES" w:eastAsia="es-ES"/>
        </w:rPr>
        <w:t xml:space="preserve"> notificaciones, pero nunca se le comunico nada, respecto a solicitar más información de su persona. El acuerdo recurrido violenta el debido proceso consagrado en el numeral 41 de la Constitución Política y el numeral 136 de la Ley General de la Administración Pública. Que el acto es totalmente nulo pues nunca se le siguió un debido proceso. (Léanse folios del 10 al 16 del expediente administrativo)</w:t>
      </w:r>
    </w:p>
    <w:p w:rsidR="00A02897" w:rsidRDefault="00515FCF">
      <w:pPr>
        <w:kinsoku w:val="0"/>
        <w:overflowPunct w:val="0"/>
        <w:autoSpaceDE/>
        <w:autoSpaceDN/>
        <w:adjustRightInd/>
        <w:spacing w:before="27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Este Tribunal se avocó al análisis de los argumentos presentados por el recurrente, encontrando que no existe nulidad en lo actuado, por lo siguiente:</w:t>
      </w:r>
    </w:p>
    <w:p w:rsidR="00A02897" w:rsidRDefault="00515FCF">
      <w:pPr>
        <w:kinsoku w:val="0"/>
        <w:overflowPunct w:val="0"/>
        <w:autoSpaceDE/>
        <w:autoSpaceDN/>
        <w:adjustRightInd/>
        <w:spacing w:before="236"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No era necesario en el presente asunto, realizar un procedimiento administrativo en aras de averiguar la verdad real de los hechos, pues lo ocurrido en este caso, es un incumplimiento del concesionario en cuanto a realizar la formalización de la concesión, lo cual ocasiona al no realizarse y transcurrir el tiempo, la extinción de la misma por el advenimiento del plazo por el cual fue otorgada y no mediar renovación alguna.</w:t>
      </w:r>
    </w:p>
    <w:p w:rsidR="00A02897" w:rsidRDefault="00515FCF">
      <w:pPr>
        <w:kinsoku w:val="0"/>
        <w:overflowPunct w:val="0"/>
        <w:autoSpaceDE/>
        <w:autoSpaceDN/>
        <w:adjustRightInd/>
        <w:spacing w:before="287"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cuanto a la motivación, el acto recurrido si fue motivado, y su sustento se encuentra en el informe Jurídico </w:t>
      </w:r>
      <w:r>
        <w:rPr>
          <w:rFonts w:ascii="Verdana" w:hAnsi="Verdana" w:cs="Verdana"/>
          <w:b/>
          <w:bCs/>
          <w:sz w:val="22"/>
          <w:szCs w:val="22"/>
          <w:lang w:val="es-ES" w:eastAsia="es-ES"/>
        </w:rPr>
        <w:t xml:space="preserve">DAJ- 2016002898 de 11 de agosto de 2016 de la Dirección de Asuntos Jurídicos </w:t>
      </w:r>
      <w:r>
        <w:rPr>
          <w:rFonts w:ascii="Verdana" w:hAnsi="Verdana" w:cs="Verdana"/>
          <w:sz w:val="22"/>
          <w:szCs w:val="22"/>
          <w:lang w:val="es-ES" w:eastAsia="es-ES"/>
        </w:rPr>
        <w:t>el cual es el sustento técnico del acuerdo de marras, y el que se-indica es adoptado por el órgano decisor en su totalidad, a saber, la Junta Directiva del Consejo de Transporte Público.</w:t>
      </w:r>
    </w:p>
    <w:p w:rsidR="00A02897" w:rsidRDefault="00515FCF">
      <w:pPr>
        <w:kinsoku w:val="0"/>
        <w:overflowPunct w:val="0"/>
        <w:autoSpaceDE/>
        <w:autoSpaceDN/>
        <w:adjustRightInd/>
        <w:spacing w:before="278" w:line="267" w:lineRule="exact"/>
        <w:ind w:left="72"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Respecto del otro argumento del recurrente en el sentido de que no se le notificó adecuadamente consta en las piezas del expediente, que el señor </w:t>
      </w:r>
      <w:r>
        <w:rPr>
          <w:rFonts w:ascii="Verdana" w:hAnsi="Verdana" w:cs="Verdana"/>
          <w:b/>
          <w:bCs/>
          <w:spacing w:val="-2"/>
          <w:sz w:val="22"/>
          <w:szCs w:val="22"/>
          <w:lang w:val="es-ES" w:eastAsia="es-ES"/>
        </w:rPr>
        <w:t>S.</w:t>
      </w:r>
    </w:p>
    <w:p w:rsidR="00A02897" w:rsidRDefault="00A02897">
      <w:pPr>
        <w:widowControl/>
        <w:rPr>
          <w:sz w:val="24"/>
          <w:szCs w:val="24"/>
        </w:rPr>
        <w:sectPr w:rsidR="00A02897">
          <w:pgSz w:w="12307" w:h="15763"/>
          <w:pgMar w:top="1760" w:right="1520" w:bottom="221" w:left="1707" w:header="720" w:footer="720" w:gutter="0"/>
          <w:cols w:space="720"/>
          <w:noEndnote/>
        </w:sectPr>
      </w:pPr>
    </w:p>
    <w:p w:rsidR="00A02897" w:rsidRDefault="00515FCF">
      <w:pPr>
        <w:kinsoku w:val="0"/>
        <w:overflowPunct w:val="0"/>
        <w:autoSpaceDE/>
        <w:autoSpaceDN/>
        <w:adjustRightInd/>
        <w:spacing w:before="53" w:line="263"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A. </w:t>
      </w:r>
      <w:r>
        <w:rPr>
          <w:rFonts w:ascii="Verdana" w:hAnsi="Verdana" w:cs="Verdana"/>
          <w:sz w:val="22"/>
          <w:szCs w:val="22"/>
          <w:lang w:val="es-ES" w:eastAsia="es-ES"/>
        </w:rPr>
        <w:t xml:space="preserve">en documento denominado "FORMULARIO </w:t>
      </w:r>
      <w:r>
        <w:rPr>
          <w:rFonts w:ascii="Verdana" w:hAnsi="Verdana" w:cs="Verdana"/>
          <w:b/>
          <w:bCs/>
          <w:sz w:val="22"/>
          <w:szCs w:val="22"/>
          <w:lang w:val="es-ES" w:eastAsia="es-ES"/>
        </w:rPr>
        <w:t xml:space="preserve">PARA LA RENOVACIÓN DE CONCESIONES DE TAXIS", </w:t>
      </w:r>
      <w:r>
        <w:rPr>
          <w:rFonts w:ascii="Verdana" w:hAnsi="Verdana" w:cs="Verdana"/>
          <w:sz w:val="22"/>
          <w:szCs w:val="22"/>
          <w:lang w:val="es-ES" w:eastAsia="es-ES"/>
        </w:rPr>
        <w:t xml:space="preserve">presentado el 12 de noviembre de 2013, indicó como único medio para recibir notificaciones el correo electrónico </w:t>
      </w:r>
      <w:hyperlink r:id="rId13" w:history="1">
        <w:r w:rsidRPr="00515FCF">
          <w:rPr>
            <w:rStyle w:val="Hipervnculo"/>
            <w:rFonts w:ascii="Verdana" w:hAnsi="Verdana" w:cs="Verdana"/>
            <w:color w:val="auto"/>
            <w:sz w:val="22"/>
            <w:szCs w:val="22"/>
            <w:lang w:val="es-ES" w:eastAsia="es-ES"/>
          </w:rPr>
          <w:t>xxxxxxxx@hotmail.com</w:t>
        </w:r>
      </w:hyperlink>
      <w:r w:rsidRPr="00515FCF">
        <w:rPr>
          <w:rFonts w:ascii="Verdana" w:hAnsi="Verdana" w:cs="Verdana"/>
          <w:sz w:val="22"/>
          <w:szCs w:val="22"/>
          <w:u w:val="single"/>
          <w:lang w:val="es-ES" w:eastAsia="es-ES"/>
        </w:rPr>
        <w:t>;</w:t>
      </w:r>
      <w:r w:rsidRPr="00515FCF">
        <w:rPr>
          <w:rFonts w:ascii="Verdana" w:hAnsi="Verdana" w:cs="Verdana"/>
          <w:sz w:val="22"/>
          <w:szCs w:val="22"/>
          <w:lang w:val="es-ES" w:eastAsia="es-ES"/>
        </w:rPr>
        <w:t xml:space="preserve"> posteriormente se apersona al CTP, a solicitar</w:t>
      </w:r>
      <w:r>
        <w:rPr>
          <w:rFonts w:ascii="Verdana" w:hAnsi="Verdana" w:cs="Verdana"/>
          <w:sz w:val="22"/>
          <w:szCs w:val="22"/>
          <w:lang w:val="es-ES" w:eastAsia="es-ES"/>
        </w:rPr>
        <w:t xml:space="preserve"> autorización para cambio de unidad y nuevamente indica el mismo correo, esto lo hace el 31 de enero de 2014. (Léase folio 112 vuelto y 122 del expediente administrativo)</w:t>
      </w:r>
    </w:p>
    <w:p w:rsidR="00A02897" w:rsidRDefault="00515FCF">
      <w:pPr>
        <w:kinsoku w:val="0"/>
        <w:overflowPunct w:val="0"/>
        <w:autoSpaceDE/>
        <w:autoSpaceDN/>
        <w:adjustRightInd/>
        <w:spacing w:before="320" w:line="263"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mismo orden de ideas de lo anterior al recurrente el Consejo de Transporte Público le comunicó cita el 27 de noviembre de 2014 a las 10:57 a.m., para renovación de la concesión para el día 1 de diciembre de 2014 a las 2:00 de la tarde, misma a la que no se presentó el recurrente y que le fuera </w:t>
      </w:r>
      <w:r w:rsidRPr="00515FCF">
        <w:rPr>
          <w:rFonts w:ascii="Verdana" w:hAnsi="Verdana" w:cs="Verdana"/>
          <w:sz w:val="22"/>
          <w:szCs w:val="22"/>
          <w:lang w:val="es-ES" w:eastAsia="es-ES"/>
        </w:rPr>
        <w:t xml:space="preserve">notificada al correo </w:t>
      </w:r>
      <w:hyperlink r:id="rId14" w:history="1">
        <w:r w:rsidRPr="00515FCF">
          <w:rPr>
            <w:rStyle w:val="Hipervnculo"/>
            <w:rFonts w:ascii="Garamond" w:hAnsi="Garamond" w:cs="Garamond"/>
            <w:color w:val="auto"/>
            <w:sz w:val="27"/>
            <w:szCs w:val="27"/>
            <w:lang w:val="es-ES" w:eastAsia="es-ES"/>
          </w:rPr>
          <w:t>xxxxxxxx@hotmail.com</w:t>
        </w:r>
      </w:hyperlink>
      <w:r w:rsidRPr="00515FCF">
        <w:rPr>
          <w:rFonts w:ascii="Garamond" w:hAnsi="Garamond" w:cs="Garamond"/>
          <w:sz w:val="27"/>
          <w:szCs w:val="27"/>
          <w:u w:val="single"/>
          <w:lang w:val="es-ES" w:eastAsia="es-ES"/>
        </w:rPr>
        <w:t>.</w:t>
      </w:r>
      <w:r w:rsidRPr="00515FCF">
        <w:rPr>
          <w:rFonts w:ascii="Verdana" w:hAnsi="Verdana" w:cs="Verdana"/>
          <w:sz w:val="22"/>
          <w:szCs w:val="22"/>
          <w:lang w:val="es-ES" w:eastAsia="es-ES"/>
        </w:rPr>
        <w:t xml:space="preserve"> Posteriormente el 20 de enero de</w:t>
      </w:r>
      <w:r>
        <w:rPr>
          <w:rFonts w:ascii="Verdana" w:hAnsi="Verdana" w:cs="Verdana"/>
          <w:sz w:val="22"/>
          <w:szCs w:val="22"/>
          <w:lang w:val="es-ES" w:eastAsia="es-ES"/>
        </w:rPr>
        <w:t xml:space="preserve"> 2016 a las 2:23 </w:t>
      </w:r>
      <w:proofErr w:type="spellStart"/>
      <w:r>
        <w:rPr>
          <w:rFonts w:ascii="Verdana" w:hAnsi="Verdana" w:cs="Verdana"/>
          <w:sz w:val="22"/>
          <w:szCs w:val="22"/>
          <w:lang w:val="es-ES" w:eastAsia="es-ES"/>
        </w:rPr>
        <w:t>p.m</w:t>
      </w:r>
      <w:proofErr w:type="spellEnd"/>
      <w:r>
        <w:rPr>
          <w:rFonts w:ascii="Verdana" w:hAnsi="Verdana" w:cs="Verdana"/>
          <w:sz w:val="22"/>
          <w:szCs w:val="22"/>
          <w:lang w:val="es-ES" w:eastAsia="es-ES"/>
        </w:rPr>
        <w:t>, se le vuelve a citar al mismo correo electrónico, esta vez para el 27 de enero de 2016 a las 10:00 a.m. misma a la que no se presentó (Léase folio 91 vuelto y 96 vuelto del expediente administrativo)</w:t>
      </w:r>
    </w:p>
    <w:p w:rsidR="00A02897" w:rsidRDefault="00515FCF">
      <w:pPr>
        <w:kinsoku w:val="0"/>
        <w:overflowPunct w:val="0"/>
        <w:autoSpaceDE/>
        <w:autoSpaceDN/>
        <w:adjustRightInd/>
        <w:spacing w:before="262" w:line="263"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su líbelo el mismo recurrente indica que el correo electrónico es su medio </w:t>
      </w:r>
      <w:r w:rsidRPr="00515FCF">
        <w:rPr>
          <w:rFonts w:ascii="Verdana" w:hAnsi="Verdana" w:cs="Verdana"/>
          <w:sz w:val="22"/>
          <w:szCs w:val="22"/>
          <w:lang w:val="es-ES" w:eastAsia="es-ES"/>
        </w:rPr>
        <w:t xml:space="preserve">de notificación, </w:t>
      </w:r>
      <w:hyperlink r:id="rId15" w:history="1">
        <w:r w:rsidRPr="00515FCF">
          <w:rPr>
            <w:rStyle w:val="Hipervnculo"/>
            <w:rFonts w:ascii="Verdana" w:hAnsi="Verdana" w:cs="Verdana"/>
            <w:color w:val="auto"/>
            <w:sz w:val="22"/>
            <w:szCs w:val="22"/>
            <w:lang w:val="es-ES" w:eastAsia="es-ES"/>
          </w:rPr>
          <w:t>xxxxxxxx@hotmail.com</w:t>
        </w:r>
      </w:hyperlink>
      <w:r w:rsidRPr="00515FCF">
        <w:rPr>
          <w:rFonts w:ascii="Verdana" w:hAnsi="Verdana" w:cs="Verdana"/>
          <w:sz w:val="22"/>
          <w:szCs w:val="22"/>
          <w:u w:val="single"/>
          <w:lang w:val="es-ES" w:eastAsia="es-ES"/>
        </w:rPr>
        <w:t>,</w:t>
      </w:r>
      <w:r w:rsidRPr="00515FCF">
        <w:rPr>
          <w:rFonts w:ascii="Verdana" w:hAnsi="Verdana" w:cs="Verdana"/>
          <w:sz w:val="22"/>
          <w:szCs w:val="22"/>
          <w:lang w:val="es-ES" w:eastAsia="es-ES"/>
        </w:rPr>
        <w:t xml:space="preserve"> lo que deja claro que fue bien</w:t>
      </w:r>
      <w:r>
        <w:rPr>
          <w:rFonts w:ascii="Verdana" w:hAnsi="Verdana" w:cs="Verdana"/>
          <w:sz w:val="22"/>
          <w:szCs w:val="22"/>
          <w:lang w:val="es-ES" w:eastAsia="es-ES"/>
        </w:rPr>
        <w:t xml:space="preserve"> notificado en todo momento.</w:t>
      </w:r>
    </w:p>
    <w:p w:rsidR="00A02897" w:rsidRDefault="00515FCF">
      <w:pPr>
        <w:kinsoku w:val="0"/>
        <w:overflowPunct w:val="0"/>
        <w:autoSpaceDE/>
        <w:autoSpaceDN/>
        <w:adjustRightInd/>
        <w:spacing w:before="291" w:line="263"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debe rechazarse la Nulidad invocada pues no se encuentra mérito para decretarla y por ende el recurso por extemporáneo.</w:t>
      </w:r>
    </w:p>
    <w:p w:rsidR="00A02897" w:rsidRDefault="00515FCF">
      <w:pPr>
        <w:kinsoku w:val="0"/>
        <w:overflowPunct w:val="0"/>
        <w:autoSpaceDE/>
        <w:autoSpaceDN/>
        <w:adjustRightInd/>
        <w:spacing w:before="270" w:line="258"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A02897" w:rsidRDefault="00515FCF">
      <w:pPr>
        <w:kinsoku w:val="0"/>
        <w:overflowPunct w:val="0"/>
        <w:autoSpaceDE/>
        <w:autoSpaceDN/>
        <w:adjustRightInd/>
        <w:spacing w:before="546" w:line="263"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I- </w:t>
      </w:r>
      <w:r>
        <w:rPr>
          <w:rFonts w:ascii="Verdana" w:hAnsi="Verdana" w:cs="Verdana"/>
          <w:sz w:val="22"/>
          <w:szCs w:val="22"/>
          <w:lang w:val="es-ES" w:eastAsia="es-ES"/>
        </w:rPr>
        <w:t xml:space="preserve">Se rechaza por extemporáneo el </w:t>
      </w:r>
      <w:r>
        <w:rPr>
          <w:rFonts w:ascii="Verdana" w:hAnsi="Verdana" w:cs="Verdana"/>
          <w:b/>
          <w:bCs/>
          <w:sz w:val="22"/>
          <w:szCs w:val="22"/>
          <w:lang w:val="es-ES" w:eastAsia="es-ES"/>
        </w:rPr>
        <w:t xml:space="preserve">Recurso de Apelación en subsidio e incidente de Nulidad,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 xml:space="preserve">W.S.A., cédula de identidad número …,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dictado por la Junta Directiva del Consejo de Transporte Público.</w:t>
      </w:r>
    </w:p>
    <w:p w:rsidR="00A02897" w:rsidRDefault="00515FCF">
      <w:pPr>
        <w:kinsoku w:val="0"/>
        <w:overflowPunct w:val="0"/>
        <w:autoSpaceDE/>
        <w:autoSpaceDN/>
        <w:adjustRightInd/>
        <w:spacing w:line="283" w:lineRule="exact"/>
        <w:ind w:left="72" w:right="144"/>
        <w:jc w:val="both"/>
        <w:textAlignment w:val="baseline"/>
        <w:rPr>
          <w:rFonts w:ascii="Verdana" w:hAnsi="Verdana" w:cs="Verdana"/>
          <w:b/>
          <w:bCs/>
          <w:sz w:val="22"/>
          <w:szCs w:val="22"/>
          <w:lang w:val="es-ES" w:eastAsia="es-ES"/>
        </w:rPr>
      </w:pPr>
      <w:r w:rsidRPr="00515FCF">
        <w:rPr>
          <w:rFonts w:ascii="Verdana" w:hAnsi="Verdana" w:cs="Verdana"/>
          <w:b/>
          <w:sz w:val="22"/>
          <w:szCs w:val="22"/>
          <w:lang w:val="es-ES" w:eastAsia="es-ES"/>
        </w:rPr>
        <w:t>II.-</w:t>
      </w:r>
      <w:r>
        <w:rPr>
          <w:rFonts w:ascii="Verdana" w:hAnsi="Verdana" w:cs="Verdana"/>
          <w:sz w:val="22"/>
          <w:szCs w:val="22"/>
          <w:lang w:val="es-ES" w:eastAsia="es-ES"/>
        </w:rPr>
        <w:t xml:space="preserve"> De conformidad con el artículo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NOTIFIQUESE. –</w:t>
      </w:r>
    </w:p>
    <w:p w:rsidR="00515FCF" w:rsidRDefault="00515FCF">
      <w:pPr>
        <w:kinsoku w:val="0"/>
        <w:overflowPunct w:val="0"/>
        <w:autoSpaceDE/>
        <w:autoSpaceDN/>
        <w:adjustRightInd/>
        <w:spacing w:line="283" w:lineRule="exact"/>
        <w:ind w:left="72" w:right="144"/>
        <w:jc w:val="both"/>
        <w:textAlignment w:val="baseline"/>
        <w:rPr>
          <w:rFonts w:ascii="Verdana" w:hAnsi="Verdana" w:cs="Verdana"/>
          <w:b/>
          <w:bCs/>
          <w:sz w:val="22"/>
          <w:szCs w:val="22"/>
          <w:lang w:val="es-ES" w:eastAsia="es-ES"/>
        </w:rPr>
      </w:pPr>
    </w:p>
    <w:p w:rsidR="00515FCF" w:rsidRDefault="00515FCF">
      <w:pPr>
        <w:kinsoku w:val="0"/>
        <w:overflowPunct w:val="0"/>
        <w:autoSpaceDE/>
        <w:autoSpaceDN/>
        <w:adjustRightInd/>
        <w:spacing w:line="283" w:lineRule="exact"/>
        <w:ind w:left="72" w:right="144"/>
        <w:jc w:val="both"/>
        <w:textAlignment w:val="baseline"/>
        <w:rPr>
          <w:rFonts w:ascii="Verdana" w:hAnsi="Verdana" w:cs="Verdana"/>
          <w:b/>
          <w:bCs/>
          <w:sz w:val="22"/>
          <w:szCs w:val="22"/>
          <w:lang w:val="es-ES" w:eastAsia="es-ES"/>
        </w:rPr>
      </w:pPr>
    </w:p>
    <w:p w:rsidR="00515FCF" w:rsidRPr="00DE692E" w:rsidRDefault="00515FCF" w:rsidP="00515FCF">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515FCF" w:rsidRPr="00DE692E" w:rsidRDefault="00515FCF" w:rsidP="00515FCF">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515FCF" w:rsidRDefault="00515FCF" w:rsidP="00515FCF">
      <w:pPr>
        <w:kinsoku w:val="0"/>
        <w:overflowPunct w:val="0"/>
        <w:autoSpaceDE/>
        <w:autoSpaceDN/>
        <w:adjustRightInd/>
        <w:spacing w:after="870" w:line="303" w:lineRule="exact"/>
        <w:ind w:right="216"/>
        <w:jc w:val="center"/>
        <w:textAlignment w:val="baseline"/>
        <w:rPr>
          <w:b/>
          <w:sz w:val="24"/>
          <w:szCs w:val="24"/>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515FCF" w:rsidRDefault="00515FCF">
      <w:pPr>
        <w:kinsoku w:val="0"/>
        <w:overflowPunct w:val="0"/>
        <w:autoSpaceDE/>
        <w:autoSpaceDN/>
        <w:adjustRightInd/>
        <w:spacing w:line="283" w:lineRule="exact"/>
        <w:ind w:left="72" w:right="144"/>
        <w:jc w:val="both"/>
        <w:textAlignment w:val="baseline"/>
        <w:rPr>
          <w:rFonts w:ascii="Verdana" w:hAnsi="Verdana" w:cs="Verdana"/>
          <w:b/>
          <w:bCs/>
          <w:sz w:val="22"/>
          <w:szCs w:val="22"/>
          <w:lang w:val="es-ES" w:eastAsia="es-ES"/>
        </w:rPr>
      </w:pPr>
    </w:p>
    <w:sectPr w:rsidR="00515FCF" w:rsidSect="00515FCF">
      <w:pgSz w:w="12307" w:h="15763"/>
      <w:pgMar w:top="1240" w:right="1580" w:bottom="709" w:left="16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7985"/>
    <w:multiLevelType w:val="singleLevel"/>
    <w:tmpl w:val="65CF5982"/>
    <w:lvl w:ilvl="0">
      <w:start w:val="1"/>
      <w:numFmt w:val="decimal"/>
      <w:lvlText w:val="%1.-"/>
      <w:lvlJc w:val="left"/>
      <w:pPr>
        <w:tabs>
          <w:tab w:val="num" w:pos="504"/>
        </w:tabs>
        <w:ind w:left="72"/>
      </w:pPr>
      <w:rPr>
        <w:rFonts w:ascii="Verdana" w:hAnsi="Verdana" w:cs="Verdana"/>
        <w:b/>
        <w:bCs/>
        <w:snapToGrid/>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CF"/>
    <w:rsid w:val="00515FCF"/>
    <w:rsid w:val="00A02897"/>
    <w:rsid w:val="00C10B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CCA89C-251C-4D30-A02C-61540A53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5FCF"/>
    <w:rPr>
      <w:color w:val="0563C1" w:themeColor="hyperlink"/>
      <w:u w:val="single"/>
    </w:rPr>
  </w:style>
  <w:style w:type="character" w:styleId="Mencinsinresolver">
    <w:name w:val="Unresolved Mention"/>
    <w:basedOn w:val="Fuentedeprrafopredeter"/>
    <w:uiPriority w:val="99"/>
    <w:semiHidden/>
    <w:unhideWhenUsed/>
    <w:rsid w:val="00515F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hotmail.com" TargetMode="External"/><Relationship Id="rId12" Type="http://schemas.openxmlformats.org/officeDocument/2006/relationships/hyperlink" Target="mailto:xxxxxxxxx@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xxxxxxx@gmail.com" TargetMode="External"/><Relationship Id="rId11" Type="http://schemas.openxmlformats.org/officeDocument/2006/relationships/hyperlink" Target="mailto:xxxxxxx@hotmail.com" TargetMode="External"/><Relationship Id="rId5" Type="http://schemas.openxmlformats.org/officeDocument/2006/relationships/hyperlink" Target="http://hotmail.com" TargetMode="External"/><Relationship Id="rId15" Type="http://schemas.openxmlformats.org/officeDocument/2006/relationships/hyperlink" Target="mailto:xxxxxxxx@hotmail.com" TargetMode="External"/><Relationship Id="rId10" Type="http://schemas.openxmlformats.org/officeDocument/2006/relationships/hyperlink" Target="mailto:xxxxxxxx@hotmail.com" TargetMode="External"/><Relationship Id="rId4" Type="http://schemas.openxmlformats.org/officeDocument/2006/relationships/webSettings" Target="webSettings.xml"/><Relationship Id="rId9" Type="http://schemas.openxmlformats.org/officeDocument/2006/relationships/hyperlink" Target="mailto:xxxxxxx@hotmail.com" TargetMode="External"/><Relationship Id="rId14" Type="http://schemas.openxmlformats.org/officeDocument/2006/relationships/hyperlink" Target="mailto: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8804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2019-04-25T16:36:00Z</dcterms:created>
  <dcterms:modified xsi:type="dcterms:W3CDTF">2019-04-25T16:36:00Z</dcterms:modified>
</cp:coreProperties>
</file>